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mark-12"/>
    <w:p>
      <w:pPr>
        <w:pStyle w:val="Heading1"/>
      </w:pPr>
      <w:r>
        <w:t xml:space="preserve">Homiletics Analysis: Mark 12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Mark 12 is a dense sequence of confrontations, a parable, a series of questions, and a closing observation — all set within the Temple courts during the final week before the crucifixion. Jesus is under sustained interrogation by the full range of Israel’s leadership: Pharisees, Herodians, Sadducees, and scribes. The chapter opens with the Parable of the Tenants (vv. 1–12), in which Jesus narrates the history of Israel’s rejection of God’s messengers and anticipates His own death and vindication. A coalition of Pharisees and Herodians then attempts to trap Him on the question of Roman taxation (vv. 13–17); Jesus disarms the trap with a question of His own. The Sadducees challenge Him with a resurrection puzzle (vv. 18–27); Jesus exposes both their biblical ignorance and their impoverished doctrine of God. A scribe sincerely asks which commandment is greatest (vv. 28–34); Jesus’s answer — love of God and neighbor — earns open commendation, and Jesus commends the scribe in return. Jesus then turns interrogator, raising the question of David’s son and Lord (vv. 35–37), silencing all opposition. He publicly denounces the scribes’ self-serving religion (vv. 38–40) and then contrasts their performance with the widow’s total self-giving offering (vv. 41–44). The chapter functions as the climactic confrontation between Jesus and the established order of Second Temple Judaism, moving from parable to polemic to praise.</w:t>
      </w:r>
    </w:p>
    <w:p>
      <w:pPr>
        <w:pStyle w:val="BodyText"/>
      </w:pPr>
      <w:r>
        <w:rPr>
          <w:b/>
          <w:bCs/>
        </w:rPr>
        <w:t xml:space="preserve">This Text — Intent</w:t>
      </w:r>
    </w:p>
    <w:p>
      <w:pPr>
        <w:pStyle w:val="BodyText"/>
      </w:pPr>
      <w:r>
        <w:t xml:space="preserve">God is seeking to accomplish several interlocking things through this chapter, but they converge on a single effect: to expose the catastrophic difference between religion performed for human approval and the Kingdom of God received through genuine submission to Jesus as Lord. Every unit in this chapter is a diagnostic — the tenants who refuse the son, the interrogators who use theology as weaponry, the widow who gives everything. The intended effect on the reader is a searching, destabilizing question:</w:t>
      </w:r>
      <w:r>
        <w:t xml:space="preserve"> </w:t>
      </w:r>
      <w:r>
        <w:rPr>
          <w:i/>
          <w:iCs/>
        </w:rPr>
        <w:t xml:space="preserve">Which figure in this chapter am I?</w:t>
      </w:r>
      <w:r>
        <w:t xml:space="preserve"> </w:t>
      </w:r>
      <w:r>
        <w:t xml:space="preserve">Am I the tenant rejecting the heir? The questioner weaponizing Scripture? The scribe almost at the Kingdom’s door? Or the widow who gives what she cannot afford to lose? God is using the confrontations of this final week to strip away every form of religious performance and call the reader to a singular, total response to the One who will himself be rejected, killed, and vindicated.</w:t>
      </w:r>
    </w:p>
    <w:p>
      <w:r>
        <w:pict>
          <v:rect style="width:0;height:1.5pt" o:hralign="center" o:hrstd="t" o:hr="t"/>
        </w:pict>
      </w:r>
    </w:p>
    <w:p>
      <w:pPr>
        <w:pStyle w:val="FirstParagraph"/>
      </w:pPr>
      <w:r>
        <w:rPr>
          <w:b/>
          <w:bCs/>
        </w:rPr>
        <w:t xml:space="preserve">Subject Sentence:</w:t>
      </w:r>
      <w:r>
        <w:t xml:space="preserve"> </w:t>
      </w:r>
      <w:r>
        <w:t xml:space="preserve">Jesus exposes false religion and calls for total submission to Himself as Israel’s rejected-but-vindicated Lord.</w:t>
      </w:r>
    </w:p>
    <w:p>
      <w:r>
        <w:pict>
          <v:rect style="width:0;height:1.5pt" o:hralign="center" o:hrstd="t" o:hr="t"/>
        </w:pict>
      </w:r>
    </w:p>
    <w:p>
      <w:pPr>
        <w:pStyle w:val="FirstParagraph"/>
      </w:pPr>
      <w:r>
        <w:rPr>
          <w:b/>
          <w:bCs/>
        </w:rPr>
        <w:t xml:space="preserve">Primary Claim:</w:t>
      </w:r>
      <w:r>
        <w:t xml:space="preserve"> </w:t>
      </w:r>
      <w:r>
        <w:t xml:space="preserve">God is confronting every form of religious self-protection — in Israel’s leaders, in the reader, in the church — and demanding the same total surrender modeled by the widow: a life given wholly to the One whom the establishment rejected but God vindicated.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Parable of the Tenants (vv. 1–12): Allegory or Non-Allegory?</w:t>
      </w:r>
    </w:p>
    <w:p>
      <w:pPr>
        <w:pStyle w:val="BodyText"/>
      </w:pPr>
      <w:r>
        <w:t xml:space="preserve">Some critical scholars (following Jeremias and later Crossan) have argued that the parable’s explicit allegorical features — vineyard as Israel (cf. Isaiah 5), servants as prophets, son as Jesus — represent secondary Christianizing additions to an originally simpler parable about economic exploitation. On this reading, the parable is not a veiled passion-and-vindication narrative but an economic critique. This reading must be refuted on textual grounds. Mark presents the parable in immediate continuity with the vineyard imagery of Isaiah 5, which the original audience would have recognized instantly. The leaders recognize that Jesus is speaking about them (v. 12), which confirms the allegorical register is operating at the surface level of the text, not imported later. The quotation of Psalm 118:22–23 (the rejected stone becoming the cornerstone) is organically connected to the parable’s logic and is not a late addition. The allegorical reading is the original reading.</w:t>
      </w:r>
    </w:p>
    <w:p>
      <w:pPr>
        <w:pStyle w:val="BodyText"/>
      </w:pPr>
      <w:r>
        <w:rPr>
          <w:b/>
          <w:bCs/>
        </w:rPr>
        <w:t xml:space="preserve">The Two Great Commandments (vv. 28–34): Summary of the Law vs. Gospel?</w:t>
      </w:r>
    </w:p>
    <w:p>
      <w:pPr>
        <w:pStyle w:val="BodyText"/>
      </w:pPr>
      <w:r>
        <w:t xml:space="preserve">Lutheran interpreters have sometimes read vv. 28–34 through the Law/Gospel lens: the double love commandment functions primarily as a convicting word — no one loves perfectly, therefore all are driven to Christ. This is a legitimate applicational move and represents a genuine contribution. However, it can underweight what the text itself is doing. Mark presents this exchange as unusual in the confrontation sequence: this scribe is sincere, and Jesus responds with commendation rather than counter-challenge. The text is not primarily functioning as convicting Law but as a disclosure of what Kingdom-orientation looks like — the scribe who answers wisely is</w:t>
      </w:r>
      <w:r>
        <w:t xml:space="preserve"> </w:t>
      </w:r>
      <w:r>
        <w:t xml:space="preserve">“not far from the Kingdom.”</w:t>
      </w:r>
      <w:r>
        <w:t xml:space="preserve"> </w:t>
      </w:r>
      <w:r>
        <w:t xml:space="preserve">The Reformed reading acknowledges the Law’s convicting function while holding equally that the passage discloses genuine Kingdom content: the person who rightly orders love of God and neighbor demonstrates something real about Kingdom proximity. The Lutheran move is worth retaining as an applicational layer but should not control the exegetical reading.</w:t>
      </w:r>
    </w:p>
    <w:p>
      <w:pPr>
        <w:pStyle w:val="BodyText"/>
      </w:pPr>
      <w:r>
        <w:rPr>
          <w:b/>
          <w:bCs/>
        </w:rPr>
        <w:t xml:space="preserve">The Widow’s Offering (vv. 41–44): Commendation or Warning?</w:t>
      </w:r>
    </w:p>
    <w:p>
      <w:pPr>
        <w:pStyle w:val="BodyText"/>
      </w:pPr>
      <w:r>
        <w:t xml:space="preserve">A significant recent interpretive stream (Addison Wright, followed by several commentators) argues that the widow’s offering is not commended but lamented — that Jesus is indicting the Temple system that devoured widows’ houses (v. 40) and drove this widow to impoverishment. On this reading, the passage is a condemnation of institutional religion that extracts from the vulnerable. This reading has surface plausibility given the immediate juxtaposition with v. 40 and the upcoming Temple discourse in chapter 13. However, it must be qualified significantly. Mark’s grammar does not support a lament reading — Jesus calls the disciples to attention (</w:t>
      </w:r>
      <w:r>
        <w:rPr>
          <w:i/>
          <w:iCs/>
        </w:rPr>
        <w:t xml:space="preserve">proskalesas</w:t>
      </w:r>
      <w:r>
        <w:t xml:space="preserve">, v. 43) not to point out a tragedy but to deliver a teaching, and the teaching is explicitly comparative and evaluative:</w:t>
      </w:r>
      <w:r>
        <w:t xml:space="preserve"> </w:t>
      </w:r>
      <w:r>
        <w:t xml:space="preserve">“she has put in more than all.”</w:t>
      </w:r>
      <w:r>
        <w:t xml:space="preserve"> </w:t>
      </w:r>
      <w:r>
        <w:t xml:space="preserve">The vocabulary of</w:t>
      </w:r>
      <w:r>
        <w:t xml:space="preserve"> </w:t>
      </w:r>
      <w:r>
        <w:t xml:space="preserve">“giving”</w:t>
      </w:r>
      <w:r>
        <w:t xml:space="preserve"> </w:t>
      </w:r>
      <w:r>
        <w:t xml:space="preserve">(</w:t>
      </w:r>
      <w:r>
        <w:rPr>
          <w:i/>
          <w:iCs/>
        </w:rPr>
        <w:t xml:space="preserve">balen</w:t>
      </w:r>
      <w:r>
        <w:t xml:space="preserve">) and the explicit contrast with those who gave from abundance frame this as commendation, not lament. The wider context of Mark 13 does announce Temple judgment, but that judgment falls on the institution, not on the widow’s act. The Reformed reading commends the widow’s total self-giving as a genuine portrait of Kingdom devotion — while acknowledging that the juxtaposition with v. 40 is intentional and does implicate the Temple’s failure to protect the vulnerable.</w:t>
      </w:r>
    </w:p>
    <w:p>
      <w:pPr>
        <w:pStyle w:val="BodyText"/>
      </w:pPr>
      <w:r>
        <w:rPr>
          <w:b/>
          <w:bCs/>
        </w:rPr>
        <w:t xml:space="preserve">Caesar and God (vv. 13–17): Separation of Church and State?</w:t>
      </w:r>
    </w:p>
    <w:p>
      <w:pPr>
        <w:pStyle w:val="BodyText"/>
      </w:pPr>
      <w:r>
        <w:t xml:space="preserve">Enlightenment and liberal Protestant readings have used v. 17 (</w:t>
      </w:r>
      <w:r>
        <w:t xml:space="preserve">“render to Caesar… and to God”</w:t>
      </w:r>
      <w:r>
        <w:t xml:space="preserve">) to ground a sharp sacred/secular distinction or a two-kingdoms framework that insulates the state from theological accountability. This overreaches. Jesus is not drawing a clean partition but exposing the trap: the coin bears Caesar’s image, so return it to him. But the human being bears God’s image — and the unstated force of the saying is that everything bearing God’s image belongs entirely to God. The contrast is not equilibrium but asymmetry: Caesar gets his coin back; God gets</w:t>
      </w:r>
      <w:r>
        <w:t xml:space="preserve"> </w:t>
      </w:r>
      <w:r>
        <w:rPr>
          <w:i/>
          <w:iCs/>
        </w:rPr>
        <w:t xml:space="preserve">you</w:t>
      </w:r>
      <w:r>
        <w:t xml:space="preserve">. The Reformed two-kingdoms framework is a legitimate development, but it must not read v. 17 as endorsing a secular zone immune from God’s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5:1–7</w:t>
      </w:r>
      <w:r>
        <w:t xml:space="preserve"> </w:t>
      </w:r>
      <w:r>
        <w:t xml:space="preserve">— The Song of the Vineyard, from which the Parable of the Tenants draws its imagery; Israel as God’s vineyard yielding bad fruit provides the original covenantal framework Jesus reactivates.</w:t>
      </w:r>
    </w:p>
    <w:p>
      <w:pPr>
        <w:numPr>
          <w:ilvl w:val="0"/>
          <w:numId w:val="1001"/>
        </w:numPr>
      </w:pPr>
      <w:r>
        <w:rPr>
          <w:b/>
          <w:bCs/>
        </w:rPr>
        <w:t xml:space="preserve">Psalm 118:22–23</w:t>
      </w:r>
      <w:r>
        <w:t xml:space="preserve"> </w:t>
      </w:r>
      <w:r>
        <w:t xml:space="preserve">— The rejected stone becoming the cornerstone; Jesus applies this directly to himself (v. 10–11), grounding His death and vindication in Israel’s own psalmic tradition.</w:t>
      </w:r>
    </w:p>
    <w:p>
      <w:pPr>
        <w:numPr>
          <w:ilvl w:val="0"/>
          <w:numId w:val="1001"/>
        </w:numPr>
      </w:pPr>
      <w:r>
        <w:rPr>
          <w:b/>
          <w:bCs/>
        </w:rPr>
        <w:t xml:space="preserve">Deuteronomy 6:4–5</w:t>
      </w:r>
      <w:r>
        <w:t xml:space="preserve"> </w:t>
      </w:r>
      <w:r>
        <w:t xml:space="preserve">— The</w:t>
      </w:r>
      <w:r>
        <w:t xml:space="preserve"> </w:t>
      </w:r>
      <w:r>
        <w:rPr>
          <w:i/>
          <w:iCs/>
        </w:rPr>
        <w:t xml:space="preserve">Shema</w:t>
      </w:r>
      <w:r>
        <w:t xml:space="preserve">, which Jesus places first in the double love commandment; the fundamental orientation of covenant life is total love of God, which the scribe rightly identifies as surpassing all ritual observance.</w:t>
      </w:r>
    </w:p>
    <w:p>
      <w:pPr>
        <w:numPr>
          <w:ilvl w:val="0"/>
          <w:numId w:val="1001"/>
        </w:numPr>
      </w:pPr>
      <w:r>
        <w:rPr>
          <w:b/>
          <w:bCs/>
        </w:rPr>
        <w:t xml:space="preserve">Romans 13:1–7</w:t>
      </w:r>
      <w:r>
        <w:t xml:space="preserve"> </w:t>
      </w:r>
      <w:r>
        <w:t xml:space="preserve">— Paul’s development of the Caesar question; the state has genuine but bounded authority, always subordinate to the comprehensive claim of God — consistent with the asymmetry Jesus implies in v. 17.</w:t>
      </w:r>
    </w:p>
    <w:p>
      <w:pPr>
        <w:numPr>
          <w:ilvl w:val="0"/>
          <w:numId w:val="1001"/>
        </w:numPr>
      </w:pPr>
      <w:r>
        <w:rPr>
          <w:b/>
          <w:bCs/>
        </w:rPr>
        <w:t xml:space="preserve">2 Corinthians 8:1–5</w:t>
      </w:r>
      <w:r>
        <w:t xml:space="preserve"> </w:t>
      </w:r>
      <w:r>
        <w:t xml:space="preserve">— The Macedonian churches who gave</w:t>
      </w:r>
      <w:r>
        <w:t xml:space="preserve"> </w:t>
      </w:r>
      <w:r>
        <w:t xml:space="preserve">“beyond their means… they gave themselves first to the Lord”</w:t>
      </w:r>
      <w:r>
        <w:t xml:space="preserve">; the widow’s total giving finds its New Testament echo and theological grounding in Spirit-generated liberality as an expression of total self-offering.</w:t>
      </w:r>
    </w:p>
    <w:p>
      <w:r>
        <w:pict>
          <v:rect style="width:0;height:1.5pt" o:hralign="center" o:hrstd="t" o:hr="t"/>
        </w:pict>
      </w:r>
    </w:p>
    <w:p>
      <w:pPr>
        <w:pStyle w:val="FirstParagraph"/>
      </w:pPr>
      <w:r>
        <w:rPr>
          <w:b/>
          <w:bCs/>
        </w:rPr>
        <w:t xml:space="preserve">Aim:</w:t>
      </w:r>
      <w:r>
        <w:t xml:space="preserve"> </w:t>
      </w:r>
      <w:r>
        <w:t xml:space="preserve">To expose every form of religious self-protection in the reader and call them to the total surrender modeled by the widow and demanded by the One whom Israel’s leaders rejected.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Parable introduced: a man plants a vineyard, lets it out to tenants, goes away; at harvest time sends a servant to receive fruit</w:t>
            </w:r>
          </w:p>
        </w:tc>
        <w:tc>
          <w:tcPr/>
          <w:p>
            <w:pPr>
              <w:pStyle w:val="Compact"/>
            </w:pPr>
            <w:r>
              <w:t xml:space="preserve">Vineyard imagery deliberately echoes Isaiah 5; the audience would have recognized this register immediately</w:t>
            </w:r>
          </w:p>
        </w:tc>
      </w:tr>
      <w:tr>
        <w:tc>
          <w:tcPr/>
          <w:p>
            <w:pPr>
              <w:pStyle w:val="Compact"/>
            </w:pPr>
            <w:r>
              <w:t xml:space="preserve">3–5</w:t>
            </w:r>
          </w:p>
        </w:tc>
        <w:tc>
          <w:tcPr/>
          <w:p>
            <w:pPr>
              <w:pStyle w:val="Compact"/>
            </w:pPr>
            <w:r>
              <w:t xml:space="preserve">Three servants sent; each beaten, treated shamefully, or killed; pattern of escalation</w:t>
            </w:r>
          </w:p>
        </w:tc>
        <w:tc>
          <w:tcPr/>
          <w:p>
            <w:pPr>
              <w:pStyle w:val="Compact"/>
            </w:pPr>
            <w:r>
              <w:t xml:space="preserve">Servants = prophets; the history of Israel’s rejection of prophetic witness compressed into narrative shorthand</w:t>
            </w:r>
          </w:p>
        </w:tc>
      </w:tr>
      <w:tr>
        <w:tc>
          <w:tcPr/>
          <w:p>
            <w:pPr>
              <w:pStyle w:val="Compact"/>
            </w:pPr>
            <w:r>
              <w:t xml:space="preserve">6–8</w:t>
            </w:r>
          </w:p>
        </w:tc>
        <w:tc>
          <w:tcPr/>
          <w:p>
            <w:pPr>
              <w:pStyle w:val="Compact"/>
            </w:pPr>
            <w:r>
              <w:t xml:space="preserve">Owner sends his beloved son (</w:t>
            </w:r>
            <w:r>
              <w:rPr>
                <w:i/>
                <w:iCs/>
              </w:rPr>
              <w:t xml:space="preserve">huion agapeton</w:t>
            </w:r>
            <w:r>
              <w:t xml:space="preserve">), expecting deference; tenants reason that killing the heir secures the inheritance; they kill him and cast him out of the vineyard</w:t>
            </w:r>
          </w:p>
        </w:tc>
        <w:tc>
          <w:tcPr/>
          <w:p>
            <w:pPr>
              <w:pStyle w:val="Compact"/>
            </w:pPr>
            <w:r>
              <w:t xml:space="preserve">“Beloved son”</w:t>
            </w:r>
            <w:r>
              <w:t xml:space="preserve"> </w:t>
            </w:r>
            <w:r>
              <w:t xml:space="preserve">echoes Mark 1:11 (baptism) and 9:7 (transfiguration) — the identification is unmistakable;</w:t>
            </w:r>
            <w:r>
              <w:t xml:space="preserve"> </w:t>
            </w:r>
            <w:r>
              <w:t xml:space="preserve">“cast him out”</w:t>
            </w:r>
            <w:r>
              <w:t xml:space="preserve"> </w:t>
            </w:r>
            <w:r>
              <w:t xml:space="preserve">may anticipate crucifixion outside the city walls</w:t>
            </w:r>
          </w:p>
        </w:tc>
      </w:tr>
      <w:tr>
        <w:tc>
          <w:tcPr/>
          <w:p>
            <w:pPr>
              <w:pStyle w:val="Compact"/>
            </w:pPr>
            <w:r>
              <w:t xml:space="preserve">9</w:t>
            </w:r>
          </w:p>
        </w:tc>
        <w:tc>
          <w:tcPr/>
          <w:p>
            <w:pPr>
              <w:pStyle w:val="Compact"/>
            </w:pPr>
            <w:r>
              <w:t xml:space="preserve">What will the owner do? He will come and destroy the tenants and give the vineyard to others</w:t>
            </w:r>
          </w:p>
        </w:tc>
        <w:tc>
          <w:tcPr/>
          <w:p>
            <w:pPr>
              <w:pStyle w:val="Compact"/>
            </w:pPr>
            <w:r>
              <w:t xml:space="preserve">Judgment on the leaders; the vineyard (covenant people/mission) transferred — not abolished</w:t>
            </w:r>
          </w:p>
        </w:tc>
      </w:tr>
      <w:tr>
        <w:tc>
          <w:tcPr/>
          <w:p>
            <w:pPr>
              <w:pStyle w:val="Compact"/>
            </w:pPr>
            <w:r>
              <w:t xml:space="preserve">10–11</w:t>
            </w:r>
          </w:p>
        </w:tc>
        <w:tc>
          <w:tcPr/>
          <w:p>
            <w:pPr>
              <w:pStyle w:val="Compact"/>
            </w:pPr>
            <w:r>
              <w:t xml:space="preserve">Psalm 118:22–23 quoted: rejected stone becomes cornerstone; this is the Lord’s doing and marvelous</w:t>
            </w:r>
          </w:p>
        </w:tc>
        <w:tc>
          <w:tcPr/>
          <w:p>
            <w:pPr>
              <w:pStyle w:val="Compact"/>
            </w:pPr>
            <w:r>
              <w:t xml:space="preserve">The parable’s implicit claim made explicit through scripture; vindication follows rejection</w:t>
            </w:r>
          </w:p>
        </w:tc>
      </w:tr>
      <w:tr>
        <w:tc>
          <w:tcPr/>
          <w:p>
            <w:pPr>
              <w:pStyle w:val="Compact"/>
            </w:pPr>
            <w:r>
              <w:t xml:space="preserve">12</w:t>
            </w:r>
          </w:p>
        </w:tc>
        <w:tc>
          <w:tcPr/>
          <w:p>
            <w:pPr>
              <w:pStyle w:val="Compact"/>
            </w:pPr>
            <w:r>
              <w:t xml:space="preserve">Chief priests, scribes, Pharisees seek to arrest Jesus; recognize the parable is about them; fear the crowd; depart</w:t>
            </w:r>
          </w:p>
        </w:tc>
        <w:tc>
          <w:tcPr/>
          <w:p>
            <w:pPr>
              <w:pStyle w:val="Compact"/>
            </w:pPr>
            <w:r>
              <w:t xml:space="preserve">Their reaction confirms the allegorical register; the rejection the parable narrates is already underway</w:t>
            </w:r>
          </w:p>
        </w:tc>
      </w:tr>
      <w:tr>
        <w:tc>
          <w:tcPr/>
          <w:p>
            <w:pPr>
              <w:pStyle w:val="Compact"/>
            </w:pPr>
            <w:r>
              <w:t xml:space="preserve">13</w:t>
            </w:r>
          </w:p>
        </w:tc>
        <w:tc>
          <w:tcPr/>
          <w:p>
            <w:pPr>
              <w:pStyle w:val="Compact"/>
            </w:pPr>
            <w:r>
              <w:t xml:space="preserve">Pharisees and Herodians sent to trap Jesus on the question of tribute</w:t>
            </w:r>
          </w:p>
        </w:tc>
        <w:tc>
          <w:tcPr/>
          <w:p>
            <w:pPr>
              <w:pStyle w:val="Compact"/>
            </w:pPr>
            <w:r>
              <w:t xml:space="preserve">Unusual coalition: theological opponents united by political threat</w:t>
            </w:r>
          </w:p>
        </w:tc>
      </w:tr>
      <w:tr>
        <w:tc>
          <w:tcPr/>
          <w:p>
            <w:pPr>
              <w:pStyle w:val="Compact"/>
            </w:pPr>
            <w:r>
              <w:t xml:space="preserve">14–15</w:t>
            </w:r>
          </w:p>
        </w:tc>
        <w:tc>
          <w:tcPr/>
          <w:p>
            <w:pPr>
              <w:pStyle w:val="Compact"/>
            </w:pPr>
            <w:r>
              <w:t xml:space="preserve">Flattering preamble; question posed:</w:t>
            </w:r>
            <w:r>
              <w:t xml:space="preserve"> </w:t>
            </w:r>
            <w:r>
              <w:t xml:space="preserve">“Is it lawful to pay taxes to Caesar or not?”</w:t>
            </w:r>
          </w:p>
        </w:tc>
        <w:tc>
          <w:tcPr/>
          <w:p>
            <w:pPr>
              <w:pStyle w:val="Compact"/>
            </w:pPr>
            <w:r>
              <w:t xml:space="preserve">The trap: yes = Roman collaborator; no = insurrectionist</w:t>
            </w:r>
          </w:p>
        </w:tc>
      </w:tr>
      <w:tr>
        <w:tc>
          <w:tcPr/>
          <w:p>
            <w:pPr>
              <w:pStyle w:val="Compact"/>
            </w:pPr>
            <w:r>
              <w:t xml:space="preserve">16–17</w:t>
            </w:r>
          </w:p>
        </w:tc>
        <w:tc>
          <w:tcPr/>
          <w:p>
            <w:pPr>
              <w:pStyle w:val="Compact"/>
            </w:pPr>
            <w:r>
              <w:t xml:space="preserve">Jesus asks for a denarius; whose image and inscription? Caesar’s.</w:t>
            </w:r>
            <w:r>
              <w:t xml:space="preserve"> </w:t>
            </w:r>
            <w:r>
              <w:t xml:space="preserve">“Render to Caesar the things that are Caesar’s, and to God the things that are God’s.”</w:t>
            </w:r>
          </w:p>
        </w:tc>
        <w:tc>
          <w:tcPr/>
          <w:p>
            <w:pPr>
              <w:pStyle w:val="Compact"/>
            </w:pPr>
            <w:r>
              <w:t xml:space="preserve">The trap collapsed; the saying is asymmetric — not a neat partition but an implied totality: image-bearers belong entirely to God</w:t>
            </w:r>
          </w:p>
        </w:tc>
      </w:tr>
      <w:tr>
        <w:tc>
          <w:tcPr/>
          <w:p>
            <w:pPr>
              <w:pStyle w:val="Compact"/>
            </w:pPr>
            <w:r>
              <w:t xml:space="preserve">18–19</w:t>
            </w:r>
          </w:p>
        </w:tc>
        <w:tc>
          <w:tcPr/>
          <w:p>
            <w:pPr>
              <w:pStyle w:val="Compact"/>
            </w:pPr>
            <w:r>
              <w:t xml:space="preserve">Sadducees approach — they deny resurrection; present a Levirate marriage puzzle to reduce resurrection to absurdity</w:t>
            </w:r>
          </w:p>
        </w:tc>
        <w:tc>
          <w:tcPr/>
          <w:p>
            <w:pPr>
              <w:pStyle w:val="Compact"/>
            </w:pPr>
            <w:r>
              <w:t xml:space="preserve">Sadducees accepted only the Pentateuch; their question is designed to make resurrection look ridiculous</w:t>
            </w:r>
          </w:p>
        </w:tc>
      </w:tr>
      <w:tr>
        <w:tc>
          <w:tcPr/>
          <w:p>
            <w:pPr>
              <w:pStyle w:val="Compact"/>
            </w:pPr>
            <w:r>
              <w:t xml:space="preserve">20–23</w:t>
            </w:r>
          </w:p>
        </w:tc>
        <w:tc>
          <w:tcPr/>
          <w:p>
            <w:pPr>
              <w:pStyle w:val="Compact"/>
            </w:pPr>
            <w:r>
              <w:t xml:space="preserve">Hypothetical: seven brothers, one wife, all die — whose wife in the resurrection?</w:t>
            </w:r>
          </w:p>
        </w:tc>
        <w:tc>
          <w:tcPr/>
          <w:p>
            <w:pPr>
              <w:pStyle w:val="Compact"/>
            </w:pPr>
            <w:r>
              <w:t xml:space="preserve">The question assumes resurrection life is simply resurrected earthly life; a category error</w:t>
            </w:r>
          </w:p>
        </w:tc>
      </w:tr>
      <w:tr>
        <w:tc>
          <w:tcPr/>
          <w:p>
            <w:pPr>
              <w:pStyle w:val="Compact"/>
            </w:pPr>
            <w:r>
              <w:t xml:space="preserve">24</w:t>
            </w:r>
          </w:p>
        </w:tc>
        <w:tc>
          <w:tcPr/>
          <w:p>
            <w:pPr>
              <w:pStyle w:val="Compact"/>
            </w:pPr>
            <w:r>
              <w:t xml:space="preserve">Jesus:</w:t>
            </w:r>
            <w:r>
              <w:t xml:space="preserve"> </w:t>
            </w:r>
            <w:r>
              <w:t xml:space="preserve">“You are wrong, because you know neither the scriptures nor the power of God”</w:t>
            </w:r>
          </w:p>
        </w:tc>
        <w:tc>
          <w:tcPr/>
          <w:p>
            <w:pPr>
              <w:pStyle w:val="Compact"/>
            </w:pPr>
            <w:r>
              <w:t xml:space="preserve">Double indictment: biblical illiteracy and theological impoverishment; the same twin failure in every rationalist dismissal of resurrection</w:t>
            </w:r>
          </w:p>
        </w:tc>
      </w:tr>
      <w:tr>
        <w:tc>
          <w:tcPr/>
          <w:p>
            <w:pPr>
              <w:pStyle w:val="Compact"/>
            </w:pPr>
            <w:r>
              <w:t xml:space="preserve">25</w:t>
            </w:r>
          </w:p>
        </w:tc>
        <w:tc>
          <w:tcPr/>
          <w:p>
            <w:pPr>
              <w:pStyle w:val="Compact"/>
            </w:pPr>
            <w:r>
              <w:t xml:space="preserve">Resurrection life is not marriage-structured; people are</w:t>
            </w:r>
            <w:r>
              <w:t xml:space="preserve"> </w:t>
            </w:r>
            <w:r>
              <w:t xml:space="preserve">“like angels”</w:t>
            </w:r>
            <w:r>
              <w:t xml:space="preserve"> </w:t>
            </w:r>
            <w:r>
              <w:t xml:space="preserve">— a different order of existence</w:t>
            </w:r>
          </w:p>
        </w:tc>
        <w:tc>
          <w:tcPr/>
          <w:p>
            <w:pPr>
              <w:pStyle w:val="Compact"/>
            </w:pPr>
            <w:r>
              <w:t xml:space="preserve">Jesus does not deny bodily resurrection but corrects the category; the error is domesticating resurrection into earthly terms</w:t>
            </w:r>
          </w:p>
        </w:tc>
      </w:tr>
      <w:tr>
        <w:tc>
          <w:tcPr/>
          <w:p>
            <w:pPr>
              <w:pStyle w:val="Compact"/>
            </w:pPr>
            <w:r>
              <w:t xml:space="preserve">26–27</w:t>
            </w:r>
          </w:p>
        </w:tc>
        <w:tc>
          <w:tcPr/>
          <w:p>
            <w:pPr>
              <w:pStyle w:val="Compact"/>
            </w:pPr>
            <w:r>
              <w:t xml:space="preserve">Pentateuchal argument: at the burning bush God says</w:t>
            </w:r>
            <w:r>
              <w:t xml:space="preserve"> </w:t>
            </w:r>
            <w:r>
              <w:t xml:space="preserve">“I am the God of Abraham, Isaac, and Jacob”</w:t>
            </w:r>
            <w:r>
              <w:t xml:space="preserve"> </w:t>
            </w:r>
            <w:r>
              <w:t xml:space="preserve">— present tense; He is not the God of the dead but of the living;</w:t>
            </w:r>
            <w:r>
              <w:t xml:space="preserve"> </w:t>
            </w:r>
            <w:r>
              <w:t xml:space="preserve">“you are very wrong”</w:t>
            </w:r>
          </w:p>
        </w:tc>
        <w:tc>
          <w:tcPr/>
          <w:p>
            <w:pPr>
              <w:pStyle w:val="Compact"/>
            </w:pPr>
            <w:r>
              <w:t xml:space="preserve">Argument from the text they accept; God’s self-identification as the God of the patriarchs implies their present living relationship with Him; resurrection is a necessary inference from covenant faithfulness</w:t>
            </w:r>
          </w:p>
        </w:tc>
      </w:tr>
      <w:tr>
        <w:tc>
          <w:tcPr/>
          <w:p>
            <w:pPr>
              <w:pStyle w:val="Compact"/>
            </w:pPr>
            <w:r>
              <w:t xml:space="preserve">28</w:t>
            </w:r>
          </w:p>
        </w:tc>
        <w:tc>
          <w:tcPr/>
          <w:p>
            <w:pPr>
              <w:pStyle w:val="Compact"/>
            </w:pPr>
            <w:r>
              <w:t xml:space="preserve">A scribe hears the debate, is impressed, asks:</w:t>
            </w:r>
            <w:r>
              <w:t xml:space="preserve"> </w:t>
            </w:r>
            <w:r>
              <w:t xml:space="preserve">“Which commandment is most important?”</w:t>
            </w:r>
          </w:p>
        </w:tc>
        <w:tc>
          <w:tcPr/>
          <w:p>
            <w:pPr>
              <w:pStyle w:val="Compact"/>
            </w:pPr>
            <w:r>
              <w:t xml:space="preserve">Unlike the other questioners, this scribe approaches with apparent sincerity</w:t>
            </w:r>
          </w:p>
        </w:tc>
      </w:tr>
      <w:tr>
        <w:tc>
          <w:tcPr/>
          <w:p>
            <w:pPr>
              <w:pStyle w:val="Compact"/>
            </w:pPr>
            <w:r>
              <w:t xml:space="preserve">29–30</w:t>
            </w:r>
          </w:p>
        </w:tc>
        <w:tc>
          <w:tcPr/>
          <w:p>
            <w:pPr>
              <w:pStyle w:val="Compact"/>
            </w:pPr>
            <w:r>
              <w:t xml:space="preserve">Jesus quotes Deuteronomy 6:4–5: love the Lord your God with all heart, soul, mind, strength</w:t>
            </w:r>
          </w:p>
        </w:tc>
        <w:tc>
          <w:tcPr/>
          <w:p>
            <w:pPr>
              <w:pStyle w:val="Compact"/>
            </w:pPr>
            <w:r>
              <w:t xml:space="preserve">The</w:t>
            </w:r>
            <w:r>
              <w:t xml:space="preserve"> </w:t>
            </w:r>
            <w:r>
              <w:rPr>
                <w:i/>
                <w:iCs/>
              </w:rPr>
              <w:t xml:space="preserve">Shema</w:t>
            </w:r>
            <w:r>
              <w:t xml:space="preserve"> </w:t>
            </w:r>
            <w:r>
              <w:t xml:space="preserve">as the foundation; total, undivided love of God is first</w:t>
            </w:r>
          </w:p>
        </w:tc>
      </w:tr>
      <w:tr>
        <w:tc>
          <w:tcPr/>
          <w:p>
            <w:pPr>
              <w:pStyle w:val="Compact"/>
            </w:pPr>
            <w:r>
              <w:t xml:space="preserve">31</w:t>
            </w:r>
          </w:p>
        </w:tc>
        <w:tc>
          <w:tcPr/>
          <w:p>
            <w:pPr>
              <w:pStyle w:val="Compact"/>
            </w:pPr>
            <w:r>
              <w:t xml:space="preserve">Second: love your neighbor as yourself (Leviticus 19:18);</w:t>
            </w:r>
            <w:r>
              <w:t xml:space="preserve"> </w:t>
            </w:r>
            <w:r>
              <w:t xml:space="preserve">“no other commandment is greater than these”</w:t>
            </w:r>
          </w:p>
        </w:tc>
        <w:tc>
          <w:tcPr/>
          <w:p>
            <w:pPr>
              <w:pStyle w:val="Compact"/>
            </w:pPr>
            <w:r>
              <w:t xml:space="preserve">The vertical and horizontal integrated; neither alone is sufficient</w:t>
            </w:r>
          </w:p>
        </w:tc>
      </w:tr>
      <w:tr>
        <w:tc>
          <w:tcPr/>
          <w:p>
            <w:pPr>
              <w:pStyle w:val="Compact"/>
            </w:pPr>
            <w:r>
              <w:t xml:space="preserve">32–33</w:t>
            </w:r>
          </w:p>
        </w:tc>
        <w:tc>
          <w:tcPr/>
          <w:p>
            <w:pPr>
              <w:pStyle w:val="Compact"/>
            </w:pPr>
            <w:r>
              <w:t xml:space="preserve">The scribe affirms and adds: loving God and neighbor is more than all burnt offerings and sacrifices</w:t>
            </w:r>
          </w:p>
        </w:tc>
        <w:tc>
          <w:tcPr/>
          <w:p>
            <w:pPr>
              <w:pStyle w:val="Compact"/>
            </w:pPr>
            <w:r>
              <w:t xml:space="preserve">The scribe understands that the internal orientation matters more than ritual performance — a significant moment</w:t>
            </w:r>
          </w:p>
        </w:tc>
      </w:tr>
      <w:tr>
        <w:tc>
          <w:tcPr/>
          <w:p>
            <w:pPr>
              <w:pStyle w:val="Compact"/>
            </w:pPr>
            <w:r>
              <w:t xml:space="preserve">34</w:t>
            </w:r>
          </w:p>
        </w:tc>
        <w:tc>
          <w:tcPr/>
          <w:p>
            <w:pPr>
              <w:pStyle w:val="Compact"/>
            </w:pPr>
            <w:r>
              <w:t xml:space="preserve">Jesus says he answered wisely, is</w:t>
            </w:r>
            <w:r>
              <w:t xml:space="preserve"> </w:t>
            </w:r>
            <w:r>
              <w:t xml:space="preserve">“not far from the Kingdom of God”</w:t>
            </w:r>
            <w:r>
              <w:t xml:space="preserve">; after this no one dared ask him questions</w:t>
            </w:r>
          </w:p>
        </w:tc>
        <w:tc>
          <w:tcPr/>
          <w:p>
            <w:pPr>
              <w:pStyle w:val="Compact"/>
            </w:pPr>
            <w:r>
              <w:t xml:space="preserve">The commendation is genuine but notably incomplete:</w:t>
            </w:r>
            <w:r>
              <w:t xml:space="preserve"> </w:t>
            </w:r>
            <w:r>
              <w:t xml:space="preserve">“not far”</w:t>
            </w:r>
            <w:r>
              <w:t xml:space="preserve"> </w:t>
            </w:r>
            <w:r>
              <w:t xml:space="preserve">is not</w:t>
            </w:r>
            <w:r>
              <w:t xml:space="preserve"> </w:t>
            </w:r>
            <w:r>
              <w:t xml:space="preserve">“in”</w:t>
            </w:r>
            <w:r>
              <w:t xml:space="preserve">; proximity is not entrance</w:t>
            </w:r>
          </w:p>
        </w:tc>
      </w:tr>
      <w:tr>
        <w:tc>
          <w:tcPr/>
          <w:p>
            <w:pPr>
              <w:pStyle w:val="Compact"/>
            </w:pPr>
            <w:r>
              <w:t xml:space="preserve">35–37</w:t>
            </w:r>
          </w:p>
        </w:tc>
        <w:tc>
          <w:tcPr/>
          <w:p>
            <w:pPr>
              <w:pStyle w:val="Compact"/>
            </w:pPr>
            <w:r>
              <w:t xml:space="preserve">Jesus in the Temple, teaching: how can the scribes say the Christ is the son of David? David himself calls him Lord (Psalm 110:1) — if David calls him Lord, how is he his son?</w:t>
            </w:r>
          </w:p>
        </w:tc>
        <w:tc>
          <w:tcPr/>
          <w:p>
            <w:pPr>
              <w:pStyle w:val="Compact"/>
            </w:pPr>
            <w:r>
              <w:t xml:space="preserve">Jesus raises the question the interrogators never asked; turns from defendant to interrogator; the crowd hears gladly</w:t>
            </w:r>
          </w:p>
        </w:tc>
      </w:tr>
      <w:tr>
        <w:tc>
          <w:tcPr/>
          <w:p>
            <w:pPr>
              <w:pStyle w:val="Compact"/>
            </w:pPr>
            <w:r>
              <w:t xml:space="preserve">38–39</w:t>
            </w:r>
          </w:p>
        </w:tc>
        <w:tc>
          <w:tcPr/>
          <w:p>
            <w:pPr>
              <w:pStyle w:val="Compact"/>
            </w:pPr>
            <w:r>
              <w:t xml:space="preserve">Denunciation of scribes: they love long robes, greetings in the marketplace, best seats in synagogues and at feasts</w:t>
            </w:r>
          </w:p>
        </w:tc>
        <w:tc>
          <w:tcPr/>
          <w:p>
            <w:pPr>
              <w:pStyle w:val="Compact"/>
            </w:pPr>
            <w:r>
              <w:t xml:space="preserve">Three consecutive markers of honor-seeking; the entire social economy of religious status on display</w:t>
            </w:r>
          </w:p>
        </w:tc>
      </w:tr>
      <w:tr>
        <w:tc>
          <w:tcPr/>
          <w:p>
            <w:pPr>
              <w:pStyle w:val="Compact"/>
            </w:pPr>
            <w:r>
              <w:t xml:space="preserve">40</w:t>
            </w:r>
          </w:p>
        </w:tc>
        <w:tc>
          <w:tcPr/>
          <w:p>
            <w:pPr>
              <w:pStyle w:val="Compact"/>
            </w:pPr>
            <w:r>
              <w:t xml:space="preserve">They devour widows’ houses and for a pretense make long prayers; they will receive greater condemnation</w:t>
            </w:r>
          </w:p>
        </w:tc>
        <w:tc>
          <w:tcPr/>
          <w:p>
            <w:pPr>
              <w:pStyle w:val="Compact"/>
            </w:pPr>
            <w:r>
              <w:t xml:space="preserve">The performance is predatory, not merely self-serving; it actively harms the vulnerable</w:t>
            </w:r>
          </w:p>
        </w:tc>
      </w:tr>
      <w:tr>
        <w:tc>
          <w:tcPr/>
          <w:p>
            <w:pPr>
              <w:pStyle w:val="Compact"/>
            </w:pPr>
            <w:r>
              <w:t xml:space="preserve">41–42</w:t>
            </w:r>
          </w:p>
        </w:tc>
        <w:tc>
          <w:tcPr/>
          <w:p>
            <w:pPr>
              <w:pStyle w:val="Compact"/>
            </w:pPr>
            <w:r>
              <w:t xml:space="preserve">Jesus sits opposite the Treasury; observes the crowd putting money in; many rich give much; a poor widow puts in two lepta — a fraction of a penny</w:t>
            </w:r>
          </w:p>
        </w:tc>
        <w:tc>
          <w:tcPr/>
          <w:p>
            <w:pPr>
              <w:pStyle w:val="Compact"/>
            </w:pPr>
            <w:r>
              <w:t xml:space="preserve">Deliberate contrast established; Jesus is watching and evaluating</w:t>
            </w:r>
          </w:p>
        </w:tc>
      </w:tr>
      <w:tr>
        <w:tc>
          <w:tcPr/>
          <w:p>
            <w:pPr>
              <w:pStyle w:val="Compact"/>
            </w:pPr>
            <w:r>
              <w:t xml:space="preserve">43–44</w:t>
            </w:r>
          </w:p>
        </w:tc>
        <w:tc>
          <w:tcPr/>
          <w:p>
            <w:pPr>
              <w:pStyle w:val="Compact"/>
            </w:pPr>
            <w:r>
              <w:t xml:space="preserve">Jesus calls disciples, teaches: this widow has put in more than all; others gave from surplus; she gave her whole life (</w:t>
            </w:r>
            <w:r>
              <w:rPr>
                <w:i/>
                <w:iCs/>
              </w:rPr>
              <w:t xml:space="preserve">holon ton bion autou</w:t>
            </w:r>
            <w:r>
              <w:t xml:space="preserve">)</w:t>
            </w:r>
          </w:p>
        </w:tc>
        <w:tc>
          <w:tcPr/>
          <w:p>
            <w:pPr>
              <w:pStyle w:val="Compact"/>
            </w:pPr>
            <w:r>
              <w:rPr>
                <w:i/>
                <w:iCs/>
              </w:rPr>
              <w:t xml:space="preserve">Bion</w:t>
            </w:r>
            <w:r>
              <w:t xml:space="preserve"> </w:t>
            </w:r>
            <w:r>
              <w:t xml:space="preserve">= life/livelihood; she has given not just her money but her sustenance — her very means of survival</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The Parable of the Tenants: Israel’s history of rejection and the coming vindication of the Son</w:t>
            </w:r>
          </w:p>
        </w:tc>
      </w:tr>
      <w:tr>
        <w:tc>
          <w:tcPr/>
          <w:p>
            <w:pPr>
              <w:pStyle w:val="Compact"/>
            </w:pPr>
            <w:r>
              <w:t xml:space="preserve">2</w:t>
            </w:r>
          </w:p>
        </w:tc>
        <w:tc>
          <w:tcPr/>
          <w:p>
            <w:pPr>
              <w:pStyle w:val="Compact"/>
            </w:pPr>
            <w:r>
              <w:t xml:space="preserve">13–17</w:t>
            </w:r>
          </w:p>
        </w:tc>
        <w:tc>
          <w:tcPr/>
          <w:p>
            <w:pPr>
              <w:pStyle w:val="Compact"/>
            </w:pPr>
            <w:r>
              <w:t xml:space="preserve">The Caesar Question: The trap that collapses into a claim — image-bearers belong to God</w:t>
            </w:r>
          </w:p>
        </w:tc>
      </w:tr>
      <w:tr>
        <w:tc>
          <w:tcPr/>
          <w:p>
            <w:pPr>
              <w:pStyle w:val="Compact"/>
            </w:pPr>
            <w:r>
              <w:t xml:space="preserve">3</w:t>
            </w:r>
          </w:p>
        </w:tc>
        <w:tc>
          <w:tcPr/>
          <w:p>
            <w:pPr>
              <w:pStyle w:val="Compact"/>
            </w:pPr>
            <w:r>
              <w:t xml:space="preserve">18–27</w:t>
            </w:r>
          </w:p>
        </w:tc>
        <w:tc>
          <w:tcPr/>
          <w:p>
            <w:pPr>
              <w:pStyle w:val="Compact"/>
            </w:pPr>
            <w:r>
              <w:t xml:space="preserve">The Resurrection Debate: Biblical illiteracy and impoverished doctrine of God refuted</w:t>
            </w:r>
          </w:p>
        </w:tc>
      </w:tr>
      <w:tr>
        <w:tc>
          <w:tcPr/>
          <w:p>
            <w:pPr>
              <w:pStyle w:val="Compact"/>
            </w:pPr>
            <w:r>
              <w:t xml:space="preserve">4</w:t>
            </w:r>
          </w:p>
        </w:tc>
        <w:tc>
          <w:tcPr/>
          <w:p>
            <w:pPr>
              <w:pStyle w:val="Compact"/>
            </w:pPr>
            <w:r>
              <w:t xml:space="preserve">28–34</w:t>
            </w:r>
          </w:p>
        </w:tc>
        <w:tc>
          <w:tcPr/>
          <w:p>
            <w:pPr>
              <w:pStyle w:val="Compact"/>
            </w:pPr>
            <w:r>
              <w:t xml:space="preserve">The Greatest Commandment: Total love of God and neighbor — and the scribe almost at the door</w:t>
            </w:r>
          </w:p>
        </w:tc>
      </w:tr>
      <w:tr>
        <w:tc>
          <w:tcPr/>
          <w:p>
            <w:pPr>
              <w:pStyle w:val="Compact"/>
            </w:pPr>
            <w:r>
              <w:t xml:space="preserve">5</w:t>
            </w:r>
          </w:p>
        </w:tc>
        <w:tc>
          <w:tcPr/>
          <w:p>
            <w:pPr>
              <w:pStyle w:val="Compact"/>
            </w:pPr>
            <w:r>
              <w:t xml:space="preserve">35–37</w:t>
            </w:r>
          </w:p>
        </w:tc>
        <w:tc>
          <w:tcPr/>
          <w:p>
            <w:pPr>
              <w:pStyle w:val="Compact"/>
            </w:pPr>
            <w:r>
              <w:t xml:space="preserve">David’s Son and Lord: Jesus turns interrogator and silences all opposition</w:t>
            </w:r>
          </w:p>
        </w:tc>
      </w:tr>
      <w:tr>
        <w:tc>
          <w:tcPr/>
          <w:p>
            <w:pPr>
              <w:pStyle w:val="Compact"/>
            </w:pPr>
            <w:r>
              <w:t xml:space="preserve">6</w:t>
            </w:r>
          </w:p>
        </w:tc>
        <w:tc>
          <w:tcPr/>
          <w:p>
            <w:pPr>
              <w:pStyle w:val="Compact"/>
            </w:pPr>
            <w:r>
              <w:t xml:space="preserve">38–40</w:t>
            </w:r>
          </w:p>
        </w:tc>
        <w:tc>
          <w:tcPr/>
          <w:p>
            <w:pPr>
              <w:pStyle w:val="Compact"/>
            </w:pPr>
            <w:r>
              <w:t xml:space="preserve">Scribal Denunciation: Religion as social performance at the expense of the vulnerable</w:t>
            </w:r>
          </w:p>
        </w:tc>
      </w:tr>
      <w:tr>
        <w:tc>
          <w:tcPr/>
          <w:p>
            <w:pPr>
              <w:pStyle w:val="Compact"/>
            </w:pPr>
            <w:r>
              <w:t xml:space="preserve">7</w:t>
            </w:r>
          </w:p>
        </w:tc>
        <w:tc>
          <w:tcPr/>
          <w:p>
            <w:pPr>
              <w:pStyle w:val="Compact"/>
            </w:pPr>
            <w:r>
              <w:t xml:space="preserve">41–44</w:t>
            </w:r>
          </w:p>
        </w:tc>
        <w:tc>
          <w:tcPr/>
          <w:p>
            <w:pPr>
              <w:pStyle w:val="Compact"/>
            </w:pPr>
            <w:r>
              <w:t xml:space="preserve">The Widow’s Offering: Total self-giving as the portrait of genuine Kingdom devotion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exposes false religion and calls for total submission to Himself as Israel’s rejected-but-vindicated Lord.</w:t>
      </w:r>
    </w:p>
    <w:p>
      <w:pPr>
        <w:pStyle w:val="BodyText"/>
      </w:pPr>
      <w:r>
        <w:rPr>
          <w:b/>
          <w:bCs/>
        </w:rPr>
        <w:t xml:space="preserve">Primary Claim:</w:t>
      </w:r>
      <w:r>
        <w:t xml:space="preserve"> </w:t>
      </w:r>
      <w:r>
        <w:t xml:space="preserve">God is confronting every form of religious self-protection — in Israel’s leaders, in the reader, in the church — and demanding the same total surrender modeled by the widow: a life given wholly to the One whom the establishment rejected but God vindicated.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resurrection is not a wish but a theological necessity — because God is the God of the living, and His covenant faithfulness to Abraham, Isaac, and Jacob requires their continuing existence. When Jesus silences the Sadducees with the burning bush, He is not offering a clever debating point; He is revealing that resurrection flows from the character of God. If God binds Himself in covenant to persons, He does not un-bind when they die. Examine your functional view of resurrection: is it a hope you hold loosely, a metaphor for</w:t>
      </w:r>
      <w:r>
        <w:t xml:space="preserve"> </w:t>
      </w:r>
      <w:r>
        <w:t xml:space="preserve">“life continues,”</w:t>
      </w:r>
      <w:r>
        <w:t xml:space="preserve"> </w:t>
      </w:r>
      <w:r>
        <w:t xml:space="preserve">or a hard doctrinal conviction grounded in who God is? The Sadducees’ error was not a minor intellectual mistake — Jesus says they did not know the Scriptures or the power of God. Do not hold your resurrection hope more lightly than Jesus holds it.</w:t>
      </w:r>
    </w:p>
    <w:p>
      <w:pPr>
        <w:pStyle w:val="BodyText"/>
      </w:pPr>
      <w:r>
        <w:rPr>
          <w:b/>
          <w:bCs/>
        </w:rPr>
        <w:t xml:space="preserve">2. (Affections/Worship)</w:t>
      </w:r>
      <w:r>
        <w:t xml:space="preserve"> </w:t>
      </w:r>
      <w:r>
        <w:t xml:space="preserve">The scribes loved the look of religion more than its object — long robes, marketplace greetings, best seats, extended prayers performed for an audience. They had learned to experience the</w:t>
      </w:r>
      <w:r>
        <w:t xml:space="preserve"> </w:t>
      </w:r>
      <w:r>
        <w:rPr>
          <w:i/>
          <w:iCs/>
        </w:rPr>
        <w:t xml:space="preserve">feeling</w:t>
      </w:r>
      <w:r>
        <w:t xml:space="preserve"> </w:t>
      </w:r>
      <w:r>
        <w:t xml:space="preserve">of being honored for religion without actually orienting themselves toward God. This is a refined and deeply satisfying substitute for worship, because it delivers the social benefits of devotion without the cost. Ask honestly: in your church participation, your Bible knowledge, your public prayer, your theological precision — are you experiencing the presence and approval of God, or are you experiencing the approval of the people around you? The scribes were not hypocrites who knew better and chose to deceive. They had learned to mistake one for the other. So can we.</w:t>
      </w:r>
    </w:p>
    <w:p>
      <w:pPr>
        <w:pStyle w:val="BodyText"/>
      </w:pPr>
      <w:r>
        <w:rPr>
          <w:b/>
          <w:bCs/>
        </w:rPr>
        <w:t xml:space="preserve">3. (Will/Behavior)</w:t>
      </w:r>
      <w:r>
        <w:t xml:space="preserve"> </w:t>
      </w:r>
      <w:r>
        <w:t xml:space="preserve">The widow gave everything she had to live on —</w:t>
      </w:r>
      <w:r>
        <w:t xml:space="preserve"> </w:t>
      </w:r>
      <w:r>
        <w:rPr>
          <w:i/>
          <w:iCs/>
        </w:rPr>
        <w:t xml:space="preserve">holon ton bion</w:t>
      </w:r>
      <w:r>
        <w:t xml:space="preserve"> </w:t>
      </w:r>
      <w:r>
        <w:t xml:space="preserve">— her whole livelihood. She did not give proportionally. She did not give what she could spare. She gave what she could not afford to give. The question this presses into specific behavior is not</w:t>
      </w:r>
      <w:r>
        <w:t xml:space="preserve"> </w:t>
      </w:r>
      <w:r>
        <w:t xml:space="preserve">“are you generous?”</w:t>
      </w:r>
      <w:r>
        <w:t xml:space="preserve"> </w:t>
      </w:r>
      <w:r>
        <w:t xml:space="preserve">but</w:t>
      </w:r>
      <w:r>
        <w:t xml:space="preserve"> </w:t>
      </w:r>
      <w:r>
        <w:t xml:space="preserve">“have you given anything that actually cost you your security?”</w:t>
      </w:r>
      <w:r>
        <w:t xml:space="preserve"> </w:t>
      </w:r>
      <w:r>
        <w:t xml:space="preserve">Identify one concrete area — financial giving, time, vocational risk, relational vulnerability — where you are currently giving only from surplus. The widow is not the framework for one area of Christian living; she is the portrait of a total orientation. Begin with one specific act of non-surplus giving this week.</w:t>
      </w:r>
    </w:p>
    <w:p>
      <w:pPr>
        <w:pStyle w:val="BodyText"/>
      </w:pPr>
      <w:r>
        <w:rPr>
          <w:b/>
          <w:bCs/>
        </w:rPr>
        <w:t xml:space="preserve">4. (Mind/Belief)</w:t>
      </w:r>
      <w:r>
        <w:t xml:space="preserve"> </w:t>
      </w:r>
      <w:r>
        <w:t xml:space="preserve">“Not far from the Kingdom”</w:t>
      </w:r>
      <w:r>
        <w:t xml:space="preserve"> </w:t>
      </w:r>
      <w:r>
        <w:t xml:space="preserve">is not the same as being in it. The scribe in vv. 28–34 is the most sympathetic figure in this chapter — sincere, theologically sharp, affirmed by Jesus. And Jesus says he is</w:t>
      </w:r>
      <w:r>
        <w:t xml:space="preserve"> </w:t>
      </w:r>
      <w:r>
        <w:rPr>
          <w:i/>
          <w:iCs/>
        </w:rPr>
        <w:t xml:space="preserve">near</w:t>
      </w:r>
      <w:r>
        <w:t xml:space="preserve"> </w:t>
      </w:r>
      <w:r>
        <w:t xml:space="preserve">the Kingdom, not that he has entered it. Theological correctness about the double love commandment is not equivalent to receiving the Kingdom. The scribe knows what love of God and neighbor means; the text does not tell us whether he follows Jesus. For everyone in the church who is theologically informed, spiritually literate, and capable of correct answers — the scribe is a warning: proximity to the right answers about Jesus is not the same as submission to Jesus Himself.</w:t>
      </w:r>
    </w:p>
    <w:p>
      <w:pPr>
        <w:pStyle w:val="BodyText"/>
      </w:pPr>
      <w:r>
        <w:rPr>
          <w:b/>
          <w:bCs/>
        </w:rPr>
        <w:t xml:space="preserve">5. (Affections/Worship)</w:t>
      </w:r>
      <w:r>
        <w:t xml:space="preserve"> </w:t>
      </w:r>
      <w:r>
        <w:t xml:space="preserve">The parable of the tenants culminates in the image of the rejected stone becoming the cornerstone — this is the Lord’s doing, and it is marvelous in our eyes. The leaders who reject the son are the tenants who suppose that eliminating the heir secures their position. The cross looks like exactly that: the establishment wins, the threat is neutralized. But the Psalm 118 quotation — which the leaders knew — announces that the stone the builders rejected is the one the Lord exalts. Worship is impossible without this conviction: that the crucified, rejected, cast-outside-the-vineyard Jesus is the one around whom the entire structure of creation and redemption is now ordered. Spend time this week with Psalm 118:22–23 as a devotional text — let the reversal it announces generate genuine wonder (</w:t>
      </w:r>
      <w:r>
        <w:rPr>
          <w:i/>
          <w:iCs/>
        </w:rPr>
        <w:t xml:space="preserve">marvelous in our eyes</w:t>
      </w:r>
      <w:r>
        <w:t xml:space="preserve">) rather than rote assent.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Mark 12 is one of the most theologically compressed chapters in the Gospels, disclosing simultaneously the nature of God, the failure of human religion, and the identity and authority of Jesus. The chapter teaches that God is the God of the living — resurrection is not an afterthought but a necessity demanded by His own covenant character (vv. 26–27). It teaches that God’s comprehensive claim on human beings, as image-bearers who belong entirely to Him, is non-negotiable and cannot be partitioned into sacred and secular zones (v. 17). It teaches that the entire history of Israel’s prophetic rejection reaches its culmination and reversal in the death and vindication of the Son (vv. 1–12), and that this reversal is not a surprise but the Lord’s own doing (v. 11). And it teaches that genuine devotion to God cannot be measured by external performance or religious volume but only by total self-giving orientation — the widow reveals what worship actually looks like (vv. 43–44).</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sustained display of what Reformed theology has always insisted: that human beings are incapable of approaching God correctly apart from grace, and that religion — including sophisticated, biblically-literate, institutionally-embedded religion — is one of the primary mechanisms by which sinners protect themselves from genuine submission to God. The Pharisees, Herodians, Sadducees, and scribes who interrogate Jesus in this chapter are not pagans — they are the most religiously serious people in Israel, and every one of their questions is weaponized. Reformed theology’s insistence on total depravity is not a claim about behavioral extremity; it is a claim about comprehensive misdirection, including misdirection of the religious instinct. The chapter also displays the Reformation’s core conviction that justification is not earned by performance — the widow gives everything she cannot spare, and it is precisely this act of non-performance, non-surplus, total-trust that Jesus holds up. She is not earning anything; she is responding to a God who is her only security. Finally, the Parable of the Tenants grounds the covenant-historical framework that runs through all of Reformed theology: the history of redemption is the history of God’s patient pursuit of a people who reject His messengers, climaxing in the rejection and vindication of His own Son — whose cornerstone status now constitutes the only foundation on which the church is built.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form of religious respectability on display in Mark 12 — theological precision, institutional loyalty, public devotion, strategic generosity — can be a way of keeping Jesus at arm’s length while appearing to honor Him. The widow gives everything, and Jesus says she gave</w:t>
      </w:r>
      <w:r>
        <w:t xml:space="preserve"> </w:t>
      </w:r>
      <w:r>
        <w:rPr>
          <w:i/>
          <w:iCs/>
        </w:rPr>
        <w:t xml:space="preserve">more</w:t>
      </w:r>
      <w:r>
        <w:t xml:space="preserve">. The question this chapter presses is not whether you have the right answers about Jesus but whether you have surrendered your life to the rejected-and-vindicated One — not from what you can spare, but from what you cannot afford to lose.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 disconnected anthology rather than a unified confrontation sequence.</w:t>
      </w:r>
      <w:r>
        <w:t xml:space="preserve"> </w:t>
      </w:r>
      <w:r>
        <w:t xml:space="preserve">Because Mark 12 contains seven distinct pericopes, it is tempting to preach them as independent units with independent themes. This misses the chapter’s governing logic: every exchange — the parable, the questions, the denunciation, the widow — is a diagnostic instrument revealing the difference between religious performance and genuine submission to Jesus. The chapter builds. The widow at the end is not a standalone stewardship illustration; she is the chapter’s resolution — the counter-image to everything that has preceded her.</w:t>
      </w:r>
    </w:p>
    <w:p>
      <w:pPr>
        <w:numPr>
          <w:ilvl w:val="0"/>
          <w:numId w:val="1002"/>
        </w:numPr>
      </w:pPr>
      <w:r>
        <w:rPr>
          <w:b/>
          <w:bCs/>
        </w:rPr>
        <w:t xml:space="preserve">Reducing the widow’s offering to a stewardship sermon.</w:t>
      </w:r>
      <w:r>
        <w:t xml:space="preserve"> </w:t>
      </w:r>
      <w:r>
        <w:t xml:space="preserve">This is the most common misuse of vv. 41–44. The passage is not primarily about financial generosity; it is about total self-giving as the proper human response to God.</w:t>
      </w:r>
      <w:r>
        <w:t xml:space="preserve"> </w:t>
      </w:r>
      <w:r>
        <w:t xml:space="preserve">“She gave her whole life”</w:t>
      </w:r>
      <w:r>
        <w:t xml:space="preserve"> </w:t>
      </w:r>
      <w:r>
        <w:t xml:space="preserve">(</w:t>
      </w:r>
      <w:r>
        <w:rPr>
          <w:i/>
          <w:iCs/>
        </w:rPr>
        <w:t xml:space="preserve">holon ton bion</w:t>
      </w:r>
      <w:r>
        <w:t xml:space="preserve">) — this is the language of comprehensive orientation, not charitable contribution. A stewardship application is not wrong, but it is drastically insufficient. The widow is answering the question the entire chapter has been raising: what does it look like to give God what He actually claims — everything?</w:t>
      </w:r>
    </w:p>
    <w:p>
      <w:pPr>
        <w:numPr>
          <w:ilvl w:val="0"/>
          <w:numId w:val="1002"/>
        </w:numPr>
      </w:pPr>
      <w:r>
        <w:rPr>
          <w:b/>
          <w:bCs/>
        </w:rPr>
        <w:t xml:space="preserve">Using v. 17 to endorse a clean sacred/secular partition.</w:t>
      </w:r>
      <w:r>
        <w:t xml:space="preserve"> </w:t>
      </w:r>
      <w:r>
        <w:t xml:space="preserve">“Render to Caesar the things that are Caesar’s, and to God the things that are God’s”</w:t>
      </w:r>
      <w:r>
        <w:t xml:space="preserve"> </w:t>
      </w:r>
      <w:r>
        <w:t xml:space="preserve">has been recruited to support political quietism, church-state separation, and a secular zone immune from theological accountability. But the saying is asymmetric, not balanced. The coin bears Caesar’s image — return it. Human beings bear God’s image — which means God’s claim is total. The text does not divide life into two equal spheres; it reveals that Caesar’s legitimate but bounded claim is nested inside God’s comprehensive one.</w:t>
      </w:r>
    </w:p>
    <w:p>
      <w:pPr>
        <w:numPr>
          <w:ilvl w:val="0"/>
          <w:numId w:val="1002"/>
        </w:numPr>
      </w:pPr>
      <w:r>
        <w:rPr>
          <w:b/>
          <w:bCs/>
        </w:rPr>
        <w:t xml:space="preserve">Missing the double indictment in the Sadducees episode.</w:t>
      </w:r>
      <w:r>
        <w:t xml:space="preserve"> </w:t>
      </w:r>
      <w:r>
        <w:t xml:space="preserve">Jesus says they are wrong because they know neither the scriptures nor the power of God (v. 24). Most expositions focus on the resurrection argument without noting that Jesus is diagnosing a dual failure: biblical ignorance and a deficient doctrine of God. The Sadducees had a God too small to raise the dead. Every rationalist dismissal of resurrection — ancient or contemporary — replicates this exact double failure. Preach both indictments.</w:t>
      </w:r>
    </w:p>
    <w:p>
      <w:pPr>
        <w:numPr>
          <w:ilvl w:val="0"/>
          <w:numId w:val="1002"/>
        </w:numPr>
      </w:pPr>
      <w:r>
        <w:rPr>
          <w:b/>
          <w:bCs/>
        </w:rPr>
        <w:t xml:space="preserve">Treating</w:t>
      </w:r>
      <w:r>
        <w:rPr>
          <w:b/>
          <w:bCs/>
        </w:rPr>
        <w:t xml:space="preserve"> </w:t>
      </w:r>
      <w:r>
        <w:rPr>
          <w:b/>
          <w:bCs/>
        </w:rPr>
        <w:t xml:space="preserve">“not far from the Kingdom”</w:t>
      </w:r>
      <w:r>
        <w:rPr>
          <w:b/>
          <w:bCs/>
        </w:rPr>
        <w:t xml:space="preserve"> </w:t>
      </w:r>
      <w:r>
        <w:rPr>
          <w:b/>
          <w:bCs/>
        </w:rPr>
        <w:t xml:space="preserve">as full commendation.</w:t>
      </w:r>
      <w:r>
        <w:t xml:space="preserve"> </w:t>
      </w:r>
      <w:r>
        <w:t xml:space="preserve">The scribe in vv. 28–34 is the most theologically correct figure in the chapter, and Jesus says he is not far from the Kingdom. This is genuine praise — and a genuine warning. Proximity is not entrance. For congregations with high biblical literacy and theological formation, this passage is an urgent word: knowing the right answer about the greatest commandment is not the same as obeying it, and obeying it does not save you apart from the One who both commands it and fulfills it. Do not let the commendation swallow the</w:t>
      </w:r>
      <w:r>
        <w:t xml:space="preserve"> </w:t>
      </w:r>
      <w:r>
        <w:t xml:space="preserve">“not far.”</w:t>
      </w:r>
    </w:p>
    <w:p>
      <w:pPr>
        <w:numPr>
          <w:ilvl w:val="0"/>
          <w:numId w:val="1002"/>
        </w:numPr>
      </w:pPr>
      <w:r>
        <w:rPr>
          <w:b/>
          <w:bCs/>
        </w:rPr>
        <w:t xml:space="preserve">Preaching the Parable of the Tenants without connecting it to Psalm 118.</w:t>
      </w:r>
      <w:r>
        <w:t xml:space="preserve"> </w:t>
      </w:r>
      <w:r>
        <w:t xml:space="preserve">The quotation of Psalm 118:22–23 is not an epilogue to the parable — it is the parable’s resolution and its claim. The parable narrates rejection; Psalm 118 announces vindication. Without vv. 10–11, the parable is a tragedy without a gospel. The cornerstone image is not merely a proof-text for Jesus’s messiahship but the structural claim that the entire edifice of God’s purposes is now ordered around the One the builders rejected. Preach the reversal, not just the rejection.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2026-07-14T21:07:18Z</dcterms:created>
  <dcterms:modified xsi:type="dcterms:W3CDTF">2026-07-14T21:07:18Z</dcterms:modified>
</cp:coreProperties>
</file>

<file path=docProps/custom.xml><?xml version="1.0" encoding="utf-8"?>
<Properties xmlns="http://schemas.openxmlformats.org/officeDocument/2006/custom-properties" xmlns:vt="http://schemas.openxmlformats.org/officeDocument/2006/docPropsVTypes"/>
</file>